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E19F2" w14:textId="77777777" w:rsidR="00F60025" w:rsidRDefault="00F60025" w:rsidP="00E7647D">
      <w:pPr>
        <w:pStyle w:val="Heading1"/>
      </w:pPr>
      <w:r w:rsidRPr="00F60025">
        <w:t> Hub and Spoke</w:t>
      </w:r>
      <w:r w:rsidRPr="00F60025">
        <w:rPr>
          <w:rFonts w:ascii="Arial" w:hAnsi="Arial" w:cs="Arial"/>
        </w:rPr>
        <w:t> </w:t>
      </w:r>
      <w:r w:rsidRPr="00F60025">
        <w:t>Model and CCBHCs </w:t>
      </w:r>
    </w:p>
    <w:p w14:paraId="288A8505" w14:textId="31DFF153" w:rsidR="00E7647D" w:rsidRPr="00E7647D" w:rsidRDefault="00E7647D" w:rsidP="00E7647D">
      <w:r>
        <w:t>Created Fall 2024</w:t>
      </w:r>
    </w:p>
    <w:p w14:paraId="7A66439C" w14:textId="77777777" w:rsidR="00F60025" w:rsidRPr="00F60025" w:rsidRDefault="00F60025" w:rsidP="00F60025">
      <w:r w:rsidRPr="00F60025">
        <w:t>This document provides a high-level explanation of the Hub and Spoke Health Home model as it pertains to the CCBHC model. It includes recommendations and requirements for interoperability between them. Below you will find most frequently asked questions with answers.  </w:t>
      </w:r>
    </w:p>
    <w:p w14:paraId="403CAAB0" w14:textId="77777777" w:rsidR="00F60025" w:rsidRPr="00F60025" w:rsidRDefault="00F60025" w:rsidP="00F60025">
      <w:r w:rsidRPr="00F60025">
        <w:rPr>
          <w:b/>
          <w:bCs/>
        </w:rPr>
        <w:t> Hub and Spoke System</w:t>
      </w:r>
      <w:r w:rsidRPr="00F60025">
        <w:t> </w:t>
      </w:r>
    </w:p>
    <w:p w14:paraId="726CF4E1" w14:textId="77777777" w:rsidR="00F60025" w:rsidRPr="00F60025" w:rsidRDefault="00F60025" w:rsidP="00F60025">
      <w:r w:rsidRPr="00F60025">
        <w:t xml:space="preserve">Hub (Opioid Treatment Programs [OTPs]) services are </w:t>
      </w:r>
      <w:r w:rsidRPr="00F60025">
        <w:rPr>
          <w:b/>
          <w:bCs/>
          <w:i/>
          <w:iCs/>
          <w:u w:val="single"/>
        </w:rPr>
        <w:t>not</w:t>
      </w:r>
      <w:r w:rsidRPr="00F60025">
        <w:t xml:space="preserve"> included in the CCBHC PPS.</w:t>
      </w:r>
      <w:r w:rsidRPr="00F60025">
        <w:rPr>
          <w:rFonts w:ascii="Arial" w:hAnsi="Arial" w:cs="Arial"/>
        </w:rPr>
        <w:t> </w:t>
      </w:r>
      <w:r w:rsidRPr="00F60025">
        <w:t xml:space="preserve"> Hub services are reimbursed as a separate, bundled rate.</w:t>
      </w:r>
      <w:r w:rsidRPr="00F60025">
        <w:rPr>
          <w:rFonts w:ascii="Arial" w:hAnsi="Arial" w:cs="Arial"/>
        </w:rPr>
        <w:t>   </w:t>
      </w:r>
      <w:r w:rsidRPr="00F60025">
        <w:t> </w:t>
      </w:r>
    </w:p>
    <w:p w14:paraId="58FB5EDD" w14:textId="77777777" w:rsidR="00F60025" w:rsidRPr="00F60025" w:rsidRDefault="00F60025" w:rsidP="00F60025">
      <w:r w:rsidRPr="00F60025">
        <w:t>Spoke Office Based Opioid Treatment Spokes are mostly primary care or family medicine practices, and include obstetrics and gynecology practices, specialty outpatient addictions programs, and practices specializing in chronic pain.  </w:t>
      </w:r>
    </w:p>
    <w:p w14:paraId="3E731954" w14:textId="77777777" w:rsidR="00F60025" w:rsidRPr="00F60025" w:rsidRDefault="00F60025" w:rsidP="00F60025">
      <w:r w:rsidRPr="00F60025">
        <w:t xml:space="preserve">Spoke services are </w:t>
      </w:r>
      <w:r w:rsidRPr="00F60025">
        <w:rPr>
          <w:b/>
          <w:bCs/>
          <w:i/>
          <w:iCs/>
          <w:u w:val="single"/>
        </w:rPr>
        <w:t>not</w:t>
      </w:r>
      <w:r w:rsidRPr="00F60025">
        <w:t xml:space="preserve"> included in the CCBHC PPS.</w:t>
      </w:r>
      <w:r w:rsidRPr="00F60025">
        <w:rPr>
          <w:rFonts w:ascii="Arial" w:hAnsi="Arial" w:cs="Arial"/>
        </w:rPr>
        <w:t> </w:t>
      </w:r>
      <w:r w:rsidRPr="00F60025">
        <w:t xml:space="preserve"> The Spoke payment model funds staffing only and includes no service or case level billing.</w:t>
      </w:r>
      <w:r w:rsidRPr="00F60025">
        <w:rPr>
          <w:rFonts w:ascii="Aptos" w:hAnsi="Aptos" w:cs="Aptos"/>
        </w:rPr>
        <w:t> </w:t>
      </w:r>
      <w:r w:rsidRPr="00F60025">
        <w:t> </w:t>
      </w:r>
    </w:p>
    <w:p w14:paraId="609F8B92" w14:textId="77777777" w:rsidR="00F60025" w:rsidRPr="00F60025" w:rsidRDefault="00F60025" w:rsidP="00F60025">
      <w:r w:rsidRPr="00F60025">
        <w:rPr>
          <w:b/>
          <w:bCs/>
        </w:rPr>
        <w:t>How it Works</w:t>
      </w:r>
      <w:r w:rsidRPr="00F60025">
        <w:t> </w:t>
      </w:r>
    </w:p>
    <w:p w14:paraId="63BA5AFF" w14:textId="77777777" w:rsidR="00F60025" w:rsidRPr="00F60025" w:rsidRDefault="00F60025" w:rsidP="00F60025">
      <w:r w:rsidRPr="00F60025">
        <w:t>Blueprint provides funding for staffing to support individuals who receive medication for Opioid Use Disorder treatment in Spokes.</w:t>
      </w:r>
      <w:r w:rsidRPr="00F60025">
        <w:rPr>
          <w:rFonts w:ascii="Arial" w:hAnsi="Arial" w:cs="Arial"/>
        </w:rPr>
        <w:t> </w:t>
      </w:r>
      <w:r w:rsidRPr="00F60025">
        <w:t xml:space="preserve"> These patients are identified as having a pharmacy claim for Buprenorphine or Naltrexone </w:t>
      </w:r>
    </w:p>
    <w:p w14:paraId="7F41C53F" w14:textId="77777777" w:rsidR="00F60025" w:rsidRPr="00F60025" w:rsidRDefault="00F60025" w:rsidP="00F60025">
      <w:r w:rsidRPr="00F60025">
        <w:t>Patient Centered Medical Homes, specialty clinics or designated agencies that prescribe MOUD are eligible to become Spoke sites.   </w:t>
      </w:r>
    </w:p>
    <w:p w14:paraId="1938EF36" w14:textId="77777777" w:rsidR="00F60025" w:rsidRPr="00F60025" w:rsidRDefault="00F60025" w:rsidP="00F60025">
      <w:r w:rsidRPr="00F60025">
        <w:t>Once the CCBHC has agreed to becoming an identified Spoke site, the CCBHC and Blueprint Administrative Entity in that Health Service Area will engage in an MOU.   </w:t>
      </w:r>
    </w:p>
    <w:p w14:paraId="383D9EB1" w14:textId="77777777" w:rsidR="00F60025" w:rsidRPr="00F60025" w:rsidRDefault="00F60025" w:rsidP="00F60025">
      <w:r w:rsidRPr="00F60025">
        <w:t>For every 100 patients in care, funding is provided to the Spoke for a full-time nurse and full time licensed social worker or counselor.  Funding would be prorated if less than 100 patients in care.</w:t>
      </w:r>
      <w:r w:rsidRPr="00F60025">
        <w:rPr>
          <w:rFonts w:ascii="Arial" w:hAnsi="Arial" w:cs="Arial"/>
        </w:rPr>
        <w:t>  </w:t>
      </w:r>
      <w:r w:rsidRPr="00F60025">
        <w:t>When connected to these staff, the services they provide to those patients cannot be billed.</w:t>
      </w:r>
      <w:r w:rsidRPr="00F60025">
        <w:rPr>
          <w:rFonts w:ascii="Arial" w:hAnsi="Arial" w:cs="Arial"/>
        </w:rPr>
        <w:t>  </w:t>
      </w:r>
      <w:r w:rsidRPr="00F60025">
        <w:t xml:space="preserve">If the Spoke funding covers a partial position at the CCBHC, the services provided outside of the services indicated in the MOU /patient count may be billed at the service level. Staff must provide home health services as described in the Blueprint for Health Manual:  </w:t>
      </w:r>
      <w:hyperlink r:id="rId4" w:tgtFrame="_blank" w:history="1">
        <w:r w:rsidRPr="00F60025">
          <w:rPr>
            <w:rStyle w:val="Hyperlink"/>
          </w:rPr>
          <w:t>Manual Outline</w:t>
        </w:r>
      </w:hyperlink>
      <w:r w:rsidRPr="00F60025">
        <w:t> </w:t>
      </w:r>
    </w:p>
    <w:p w14:paraId="2EFDCF5B" w14:textId="77777777" w:rsidR="00F60025" w:rsidRPr="00F60025" w:rsidRDefault="00F60025" w:rsidP="00F60025">
      <w:r w:rsidRPr="00F60025">
        <w:rPr>
          <w:b/>
          <w:bCs/>
        </w:rPr>
        <w:t>CCBHC Model</w:t>
      </w:r>
      <w:r w:rsidRPr="00F60025">
        <w:t> </w:t>
      </w:r>
    </w:p>
    <w:p w14:paraId="5A08B4D7" w14:textId="77777777" w:rsidR="00F60025" w:rsidRPr="00F60025" w:rsidRDefault="00F60025" w:rsidP="00F60025">
      <w:r w:rsidRPr="00F60025">
        <w:lastRenderedPageBreak/>
        <w:t xml:space="preserve">Within the CCBHC model, a CCBHC can have a prescriber for buprenorphine and vivitrol. If the provider is not identified as a Spoke site, they can provide the services to prescribe medication for Opioid Use Disorder treatment and those services are qualifying services included in the PPS rate. This can be a service provided within the CCBHC or sourced out to a DCO (Criteria 4.f.1). DCOs need to be Preferred Providers or Spoke practices for MOUD. </w:t>
      </w:r>
      <w:r w:rsidRPr="00F60025">
        <w:rPr>
          <w:rFonts w:ascii="Arial" w:hAnsi="Arial" w:cs="Arial"/>
        </w:rPr>
        <w:t> </w:t>
      </w:r>
      <w:r w:rsidRPr="00F60025">
        <w:t> </w:t>
      </w:r>
    </w:p>
    <w:p w14:paraId="1B0E93B2" w14:textId="77777777" w:rsidR="00F60025" w:rsidRPr="00F60025" w:rsidRDefault="00F60025" w:rsidP="00F60025">
      <w:r w:rsidRPr="00F60025">
        <w:rPr>
          <w:b/>
          <w:bCs/>
        </w:rPr>
        <w:t>Opportunity to Collaborate</w:t>
      </w:r>
      <w:r w:rsidRPr="00F60025">
        <w:t> </w:t>
      </w:r>
    </w:p>
    <w:p w14:paraId="1944C33F" w14:textId="20FFDA2D" w:rsidR="00F60025" w:rsidRPr="00F60025" w:rsidRDefault="00F60025" w:rsidP="00F60025">
      <w:r w:rsidRPr="00F60025">
        <w:t>CCBHCs are not required to become a Spoke but can contract through a DCO. DCOs need to be Preferred Providers or Spoke practices for MOUD. If the CCBHC can provide MOUD in-house, then they are free to proceed providing services under CCBHC. If the CCBHC chooses to employ the Blueprint model described above, then additional   resources will be available. This decision will require additional oversight and monitoring.</w:t>
      </w:r>
      <w:r w:rsidRPr="00F60025">
        <w:rPr>
          <w:rFonts w:ascii="Arial" w:hAnsi="Arial" w:cs="Arial"/>
        </w:rPr>
        <w:t> </w:t>
      </w:r>
      <w:r w:rsidRPr="00F60025">
        <w:t>The benefit of Blueprint provides supporting provider and providing a high level of care and support specifically for these identified clients. If a provider sources out to a DCO for MOUD services, the DCO must be a Hub or Spoke practice</w:t>
      </w:r>
      <w:r>
        <w:t>,</w:t>
      </w:r>
      <w:r w:rsidRPr="00F60025">
        <w:t xml:space="preserve"> or preferred provider.  Blueprint will work with the CCBHC and Administrative entity on the details on the agreement and so patients are not duplicated/counted and billed for by nursing our mental health staff.   </w:t>
      </w:r>
    </w:p>
    <w:p w14:paraId="7E030879" w14:textId="77777777" w:rsidR="00F60025" w:rsidRPr="00F60025" w:rsidRDefault="00F60025" w:rsidP="00F60025">
      <w:r w:rsidRPr="00F60025">
        <w:t> </w:t>
      </w:r>
    </w:p>
    <w:p w14:paraId="5568F9D3" w14:textId="77777777" w:rsidR="00F60025" w:rsidRPr="00F60025" w:rsidRDefault="00F60025" w:rsidP="00F60025">
      <w:r w:rsidRPr="00F60025">
        <w:rPr>
          <w:b/>
          <w:bCs/>
        </w:rPr>
        <w:t>FAQ:</w:t>
      </w:r>
      <w:r w:rsidRPr="00F60025">
        <w:t> </w:t>
      </w:r>
    </w:p>
    <w:p w14:paraId="3744F4D6" w14:textId="77777777" w:rsidR="00F60025" w:rsidRPr="00F60025" w:rsidRDefault="00F60025" w:rsidP="00F60025">
      <w:r w:rsidRPr="00F60025">
        <w:t>Q: MOUD best practice? </w:t>
      </w:r>
    </w:p>
    <w:p w14:paraId="6B717FC5" w14:textId="77777777" w:rsidR="00F60025" w:rsidRPr="00F60025" w:rsidRDefault="00F60025" w:rsidP="00F60025">
      <w:r w:rsidRPr="00F60025">
        <w:t>A: Best practice for CCBHCs is coordinating and collaborating with community partners and being thoughtful about what is best for the individual first AND what saves health care dollars.  </w:t>
      </w:r>
    </w:p>
    <w:p w14:paraId="7C3F9416" w14:textId="77777777" w:rsidR="00F60025" w:rsidRPr="00F60025" w:rsidRDefault="00F60025" w:rsidP="00F60025">
      <w:r w:rsidRPr="00F60025">
        <w:t>Q: Can youth be served by HUB and Spoke providers? </w:t>
      </w:r>
    </w:p>
    <w:p w14:paraId="2E210302" w14:textId="77777777" w:rsidR="00F60025" w:rsidRPr="00F60025" w:rsidRDefault="00F60025" w:rsidP="00F60025">
      <w:r w:rsidRPr="00F60025">
        <w:t>A: Yes </w:t>
      </w:r>
    </w:p>
    <w:p w14:paraId="039B068F" w14:textId="77777777" w:rsidR="0027315B" w:rsidRDefault="0027315B"/>
    <w:sectPr w:rsidR="00273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25"/>
    <w:rsid w:val="0027315B"/>
    <w:rsid w:val="00286576"/>
    <w:rsid w:val="005D23BC"/>
    <w:rsid w:val="00C10EA0"/>
    <w:rsid w:val="00E7647D"/>
    <w:rsid w:val="00F6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E99A"/>
  <w15:chartTrackingRefBased/>
  <w15:docId w15:val="{86ADFB82-7E2A-4445-B369-057BE6C1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0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0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0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0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0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0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0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0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0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0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0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0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0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0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0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0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0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025"/>
    <w:rPr>
      <w:rFonts w:eastAsiaTheme="majorEastAsia" w:cstheme="majorBidi"/>
      <w:color w:val="272727" w:themeColor="text1" w:themeTint="D8"/>
    </w:rPr>
  </w:style>
  <w:style w:type="paragraph" w:styleId="Title">
    <w:name w:val="Title"/>
    <w:basedOn w:val="Normal"/>
    <w:next w:val="Normal"/>
    <w:link w:val="TitleChar"/>
    <w:uiPriority w:val="10"/>
    <w:qFormat/>
    <w:rsid w:val="00F600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0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0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0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025"/>
    <w:pPr>
      <w:spacing w:before="160"/>
      <w:jc w:val="center"/>
    </w:pPr>
    <w:rPr>
      <w:i/>
      <w:iCs/>
      <w:color w:val="404040" w:themeColor="text1" w:themeTint="BF"/>
    </w:rPr>
  </w:style>
  <w:style w:type="character" w:customStyle="1" w:styleId="QuoteChar">
    <w:name w:val="Quote Char"/>
    <w:basedOn w:val="DefaultParagraphFont"/>
    <w:link w:val="Quote"/>
    <w:uiPriority w:val="29"/>
    <w:rsid w:val="00F60025"/>
    <w:rPr>
      <w:i/>
      <w:iCs/>
      <w:color w:val="404040" w:themeColor="text1" w:themeTint="BF"/>
    </w:rPr>
  </w:style>
  <w:style w:type="paragraph" w:styleId="ListParagraph">
    <w:name w:val="List Paragraph"/>
    <w:basedOn w:val="Normal"/>
    <w:uiPriority w:val="34"/>
    <w:qFormat/>
    <w:rsid w:val="00F60025"/>
    <w:pPr>
      <w:ind w:left="720"/>
      <w:contextualSpacing/>
    </w:pPr>
  </w:style>
  <w:style w:type="character" w:styleId="IntenseEmphasis">
    <w:name w:val="Intense Emphasis"/>
    <w:basedOn w:val="DefaultParagraphFont"/>
    <w:uiPriority w:val="21"/>
    <w:qFormat/>
    <w:rsid w:val="00F60025"/>
    <w:rPr>
      <w:i/>
      <w:iCs/>
      <w:color w:val="0F4761" w:themeColor="accent1" w:themeShade="BF"/>
    </w:rPr>
  </w:style>
  <w:style w:type="paragraph" w:styleId="IntenseQuote">
    <w:name w:val="Intense Quote"/>
    <w:basedOn w:val="Normal"/>
    <w:next w:val="Normal"/>
    <w:link w:val="IntenseQuoteChar"/>
    <w:uiPriority w:val="30"/>
    <w:qFormat/>
    <w:rsid w:val="00F600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025"/>
    <w:rPr>
      <w:i/>
      <w:iCs/>
      <w:color w:val="0F4761" w:themeColor="accent1" w:themeShade="BF"/>
    </w:rPr>
  </w:style>
  <w:style w:type="character" w:styleId="IntenseReference">
    <w:name w:val="Intense Reference"/>
    <w:basedOn w:val="DefaultParagraphFont"/>
    <w:uiPriority w:val="32"/>
    <w:qFormat/>
    <w:rsid w:val="00F60025"/>
    <w:rPr>
      <w:b/>
      <w:bCs/>
      <w:smallCaps/>
      <w:color w:val="0F4761" w:themeColor="accent1" w:themeShade="BF"/>
      <w:spacing w:val="5"/>
    </w:rPr>
  </w:style>
  <w:style w:type="character" w:styleId="Hyperlink">
    <w:name w:val="Hyperlink"/>
    <w:basedOn w:val="DefaultParagraphFont"/>
    <w:uiPriority w:val="99"/>
    <w:unhideWhenUsed/>
    <w:rsid w:val="00F60025"/>
    <w:rPr>
      <w:color w:val="467886" w:themeColor="hyperlink"/>
      <w:u w:val="single"/>
    </w:rPr>
  </w:style>
  <w:style w:type="character" w:styleId="UnresolvedMention">
    <w:name w:val="Unresolved Mention"/>
    <w:basedOn w:val="DefaultParagraphFont"/>
    <w:uiPriority w:val="99"/>
    <w:semiHidden/>
    <w:unhideWhenUsed/>
    <w:rsid w:val="00F60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557583">
      <w:bodyDiv w:val="1"/>
      <w:marLeft w:val="0"/>
      <w:marRight w:val="0"/>
      <w:marTop w:val="0"/>
      <w:marBottom w:val="0"/>
      <w:divBdr>
        <w:top w:val="none" w:sz="0" w:space="0" w:color="auto"/>
        <w:left w:val="none" w:sz="0" w:space="0" w:color="auto"/>
        <w:bottom w:val="none" w:sz="0" w:space="0" w:color="auto"/>
        <w:right w:val="none" w:sz="0" w:space="0" w:color="auto"/>
      </w:divBdr>
      <w:divsChild>
        <w:div w:id="1449423590">
          <w:marLeft w:val="0"/>
          <w:marRight w:val="0"/>
          <w:marTop w:val="0"/>
          <w:marBottom w:val="0"/>
          <w:divBdr>
            <w:top w:val="none" w:sz="0" w:space="0" w:color="auto"/>
            <w:left w:val="none" w:sz="0" w:space="0" w:color="auto"/>
            <w:bottom w:val="none" w:sz="0" w:space="0" w:color="auto"/>
            <w:right w:val="none" w:sz="0" w:space="0" w:color="auto"/>
          </w:divBdr>
        </w:div>
        <w:div w:id="316539453">
          <w:marLeft w:val="0"/>
          <w:marRight w:val="0"/>
          <w:marTop w:val="0"/>
          <w:marBottom w:val="0"/>
          <w:divBdr>
            <w:top w:val="none" w:sz="0" w:space="0" w:color="auto"/>
            <w:left w:val="none" w:sz="0" w:space="0" w:color="auto"/>
            <w:bottom w:val="none" w:sz="0" w:space="0" w:color="auto"/>
            <w:right w:val="none" w:sz="0" w:space="0" w:color="auto"/>
          </w:divBdr>
        </w:div>
        <w:div w:id="1751542793">
          <w:marLeft w:val="0"/>
          <w:marRight w:val="0"/>
          <w:marTop w:val="0"/>
          <w:marBottom w:val="0"/>
          <w:divBdr>
            <w:top w:val="none" w:sz="0" w:space="0" w:color="auto"/>
            <w:left w:val="none" w:sz="0" w:space="0" w:color="auto"/>
            <w:bottom w:val="none" w:sz="0" w:space="0" w:color="auto"/>
            <w:right w:val="none" w:sz="0" w:space="0" w:color="auto"/>
          </w:divBdr>
        </w:div>
        <w:div w:id="839927566">
          <w:marLeft w:val="0"/>
          <w:marRight w:val="0"/>
          <w:marTop w:val="0"/>
          <w:marBottom w:val="0"/>
          <w:divBdr>
            <w:top w:val="none" w:sz="0" w:space="0" w:color="auto"/>
            <w:left w:val="none" w:sz="0" w:space="0" w:color="auto"/>
            <w:bottom w:val="none" w:sz="0" w:space="0" w:color="auto"/>
            <w:right w:val="none" w:sz="0" w:space="0" w:color="auto"/>
          </w:divBdr>
        </w:div>
        <w:div w:id="340011224">
          <w:marLeft w:val="0"/>
          <w:marRight w:val="0"/>
          <w:marTop w:val="0"/>
          <w:marBottom w:val="0"/>
          <w:divBdr>
            <w:top w:val="none" w:sz="0" w:space="0" w:color="auto"/>
            <w:left w:val="none" w:sz="0" w:space="0" w:color="auto"/>
            <w:bottom w:val="none" w:sz="0" w:space="0" w:color="auto"/>
            <w:right w:val="none" w:sz="0" w:space="0" w:color="auto"/>
          </w:divBdr>
        </w:div>
        <w:div w:id="1980109200">
          <w:marLeft w:val="0"/>
          <w:marRight w:val="0"/>
          <w:marTop w:val="0"/>
          <w:marBottom w:val="0"/>
          <w:divBdr>
            <w:top w:val="none" w:sz="0" w:space="0" w:color="auto"/>
            <w:left w:val="none" w:sz="0" w:space="0" w:color="auto"/>
            <w:bottom w:val="none" w:sz="0" w:space="0" w:color="auto"/>
            <w:right w:val="none" w:sz="0" w:space="0" w:color="auto"/>
          </w:divBdr>
        </w:div>
        <w:div w:id="1438602108">
          <w:marLeft w:val="0"/>
          <w:marRight w:val="0"/>
          <w:marTop w:val="0"/>
          <w:marBottom w:val="0"/>
          <w:divBdr>
            <w:top w:val="none" w:sz="0" w:space="0" w:color="auto"/>
            <w:left w:val="none" w:sz="0" w:space="0" w:color="auto"/>
            <w:bottom w:val="none" w:sz="0" w:space="0" w:color="auto"/>
            <w:right w:val="none" w:sz="0" w:space="0" w:color="auto"/>
          </w:divBdr>
        </w:div>
        <w:div w:id="1736200591">
          <w:marLeft w:val="0"/>
          <w:marRight w:val="0"/>
          <w:marTop w:val="0"/>
          <w:marBottom w:val="0"/>
          <w:divBdr>
            <w:top w:val="none" w:sz="0" w:space="0" w:color="auto"/>
            <w:left w:val="none" w:sz="0" w:space="0" w:color="auto"/>
            <w:bottom w:val="none" w:sz="0" w:space="0" w:color="auto"/>
            <w:right w:val="none" w:sz="0" w:space="0" w:color="auto"/>
          </w:divBdr>
        </w:div>
        <w:div w:id="1891064323">
          <w:marLeft w:val="0"/>
          <w:marRight w:val="0"/>
          <w:marTop w:val="0"/>
          <w:marBottom w:val="0"/>
          <w:divBdr>
            <w:top w:val="none" w:sz="0" w:space="0" w:color="auto"/>
            <w:left w:val="none" w:sz="0" w:space="0" w:color="auto"/>
            <w:bottom w:val="none" w:sz="0" w:space="0" w:color="auto"/>
            <w:right w:val="none" w:sz="0" w:space="0" w:color="auto"/>
          </w:divBdr>
        </w:div>
        <w:div w:id="1290477670">
          <w:marLeft w:val="0"/>
          <w:marRight w:val="0"/>
          <w:marTop w:val="0"/>
          <w:marBottom w:val="0"/>
          <w:divBdr>
            <w:top w:val="none" w:sz="0" w:space="0" w:color="auto"/>
            <w:left w:val="none" w:sz="0" w:space="0" w:color="auto"/>
            <w:bottom w:val="none" w:sz="0" w:space="0" w:color="auto"/>
            <w:right w:val="none" w:sz="0" w:space="0" w:color="auto"/>
          </w:divBdr>
        </w:div>
        <w:div w:id="154952337">
          <w:marLeft w:val="0"/>
          <w:marRight w:val="0"/>
          <w:marTop w:val="0"/>
          <w:marBottom w:val="0"/>
          <w:divBdr>
            <w:top w:val="none" w:sz="0" w:space="0" w:color="auto"/>
            <w:left w:val="none" w:sz="0" w:space="0" w:color="auto"/>
            <w:bottom w:val="none" w:sz="0" w:space="0" w:color="auto"/>
            <w:right w:val="none" w:sz="0" w:space="0" w:color="auto"/>
          </w:divBdr>
        </w:div>
        <w:div w:id="2143844950">
          <w:marLeft w:val="0"/>
          <w:marRight w:val="0"/>
          <w:marTop w:val="0"/>
          <w:marBottom w:val="0"/>
          <w:divBdr>
            <w:top w:val="none" w:sz="0" w:space="0" w:color="auto"/>
            <w:left w:val="none" w:sz="0" w:space="0" w:color="auto"/>
            <w:bottom w:val="none" w:sz="0" w:space="0" w:color="auto"/>
            <w:right w:val="none" w:sz="0" w:space="0" w:color="auto"/>
          </w:divBdr>
        </w:div>
        <w:div w:id="1816415662">
          <w:marLeft w:val="0"/>
          <w:marRight w:val="0"/>
          <w:marTop w:val="0"/>
          <w:marBottom w:val="0"/>
          <w:divBdr>
            <w:top w:val="none" w:sz="0" w:space="0" w:color="auto"/>
            <w:left w:val="none" w:sz="0" w:space="0" w:color="auto"/>
            <w:bottom w:val="none" w:sz="0" w:space="0" w:color="auto"/>
            <w:right w:val="none" w:sz="0" w:space="0" w:color="auto"/>
          </w:divBdr>
        </w:div>
        <w:div w:id="732502978">
          <w:marLeft w:val="0"/>
          <w:marRight w:val="0"/>
          <w:marTop w:val="0"/>
          <w:marBottom w:val="0"/>
          <w:divBdr>
            <w:top w:val="none" w:sz="0" w:space="0" w:color="auto"/>
            <w:left w:val="none" w:sz="0" w:space="0" w:color="auto"/>
            <w:bottom w:val="none" w:sz="0" w:space="0" w:color="auto"/>
            <w:right w:val="none" w:sz="0" w:space="0" w:color="auto"/>
          </w:divBdr>
        </w:div>
        <w:div w:id="2087995951">
          <w:marLeft w:val="0"/>
          <w:marRight w:val="0"/>
          <w:marTop w:val="0"/>
          <w:marBottom w:val="0"/>
          <w:divBdr>
            <w:top w:val="none" w:sz="0" w:space="0" w:color="auto"/>
            <w:left w:val="none" w:sz="0" w:space="0" w:color="auto"/>
            <w:bottom w:val="none" w:sz="0" w:space="0" w:color="auto"/>
            <w:right w:val="none" w:sz="0" w:space="0" w:color="auto"/>
          </w:divBdr>
        </w:div>
        <w:div w:id="2111704896">
          <w:marLeft w:val="0"/>
          <w:marRight w:val="0"/>
          <w:marTop w:val="0"/>
          <w:marBottom w:val="0"/>
          <w:divBdr>
            <w:top w:val="none" w:sz="0" w:space="0" w:color="auto"/>
            <w:left w:val="none" w:sz="0" w:space="0" w:color="auto"/>
            <w:bottom w:val="none" w:sz="0" w:space="0" w:color="auto"/>
            <w:right w:val="none" w:sz="0" w:space="0" w:color="auto"/>
          </w:divBdr>
        </w:div>
        <w:div w:id="562957794">
          <w:marLeft w:val="0"/>
          <w:marRight w:val="0"/>
          <w:marTop w:val="0"/>
          <w:marBottom w:val="0"/>
          <w:divBdr>
            <w:top w:val="none" w:sz="0" w:space="0" w:color="auto"/>
            <w:left w:val="none" w:sz="0" w:space="0" w:color="auto"/>
            <w:bottom w:val="none" w:sz="0" w:space="0" w:color="auto"/>
            <w:right w:val="none" w:sz="0" w:space="0" w:color="auto"/>
          </w:divBdr>
        </w:div>
        <w:div w:id="366300161">
          <w:marLeft w:val="0"/>
          <w:marRight w:val="0"/>
          <w:marTop w:val="0"/>
          <w:marBottom w:val="0"/>
          <w:divBdr>
            <w:top w:val="none" w:sz="0" w:space="0" w:color="auto"/>
            <w:left w:val="none" w:sz="0" w:space="0" w:color="auto"/>
            <w:bottom w:val="none" w:sz="0" w:space="0" w:color="auto"/>
            <w:right w:val="none" w:sz="0" w:space="0" w:color="auto"/>
          </w:divBdr>
        </w:div>
        <w:div w:id="1363440597">
          <w:marLeft w:val="0"/>
          <w:marRight w:val="0"/>
          <w:marTop w:val="0"/>
          <w:marBottom w:val="0"/>
          <w:divBdr>
            <w:top w:val="none" w:sz="0" w:space="0" w:color="auto"/>
            <w:left w:val="none" w:sz="0" w:space="0" w:color="auto"/>
            <w:bottom w:val="none" w:sz="0" w:space="0" w:color="auto"/>
            <w:right w:val="none" w:sz="0" w:space="0" w:color="auto"/>
          </w:divBdr>
        </w:div>
        <w:div w:id="1814054231">
          <w:marLeft w:val="0"/>
          <w:marRight w:val="0"/>
          <w:marTop w:val="0"/>
          <w:marBottom w:val="0"/>
          <w:divBdr>
            <w:top w:val="none" w:sz="0" w:space="0" w:color="auto"/>
            <w:left w:val="none" w:sz="0" w:space="0" w:color="auto"/>
            <w:bottom w:val="none" w:sz="0" w:space="0" w:color="auto"/>
            <w:right w:val="none" w:sz="0" w:space="0" w:color="auto"/>
          </w:divBdr>
        </w:div>
        <w:div w:id="856693490">
          <w:marLeft w:val="0"/>
          <w:marRight w:val="0"/>
          <w:marTop w:val="0"/>
          <w:marBottom w:val="0"/>
          <w:divBdr>
            <w:top w:val="none" w:sz="0" w:space="0" w:color="auto"/>
            <w:left w:val="none" w:sz="0" w:space="0" w:color="auto"/>
            <w:bottom w:val="none" w:sz="0" w:space="0" w:color="auto"/>
            <w:right w:val="none" w:sz="0" w:space="0" w:color="auto"/>
          </w:divBdr>
        </w:div>
      </w:divsChild>
    </w:div>
    <w:div w:id="1536774258">
      <w:bodyDiv w:val="1"/>
      <w:marLeft w:val="0"/>
      <w:marRight w:val="0"/>
      <w:marTop w:val="0"/>
      <w:marBottom w:val="0"/>
      <w:divBdr>
        <w:top w:val="none" w:sz="0" w:space="0" w:color="auto"/>
        <w:left w:val="none" w:sz="0" w:space="0" w:color="auto"/>
        <w:bottom w:val="none" w:sz="0" w:space="0" w:color="auto"/>
        <w:right w:val="none" w:sz="0" w:space="0" w:color="auto"/>
      </w:divBdr>
      <w:divsChild>
        <w:div w:id="819731547">
          <w:marLeft w:val="0"/>
          <w:marRight w:val="0"/>
          <w:marTop w:val="0"/>
          <w:marBottom w:val="0"/>
          <w:divBdr>
            <w:top w:val="none" w:sz="0" w:space="0" w:color="auto"/>
            <w:left w:val="none" w:sz="0" w:space="0" w:color="auto"/>
            <w:bottom w:val="none" w:sz="0" w:space="0" w:color="auto"/>
            <w:right w:val="none" w:sz="0" w:space="0" w:color="auto"/>
          </w:divBdr>
        </w:div>
        <w:div w:id="1609583619">
          <w:marLeft w:val="0"/>
          <w:marRight w:val="0"/>
          <w:marTop w:val="0"/>
          <w:marBottom w:val="0"/>
          <w:divBdr>
            <w:top w:val="none" w:sz="0" w:space="0" w:color="auto"/>
            <w:left w:val="none" w:sz="0" w:space="0" w:color="auto"/>
            <w:bottom w:val="none" w:sz="0" w:space="0" w:color="auto"/>
            <w:right w:val="none" w:sz="0" w:space="0" w:color="auto"/>
          </w:divBdr>
        </w:div>
        <w:div w:id="475536268">
          <w:marLeft w:val="0"/>
          <w:marRight w:val="0"/>
          <w:marTop w:val="0"/>
          <w:marBottom w:val="0"/>
          <w:divBdr>
            <w:top w:val="none" w:sz="0" w:space="0" w:color="auto"/>
            <w:left w:val="none" w:sz="0" w:space="0" w:color="auto"/>
            <w:bottom w:val="none" w:sz="0" w:space="0" w:color="auto"/>
            <w:right w:val="none" w:sz="0" w:space="0" w:color="auto"/>
          </w:divBdr>
        </w:div>
        <w:div w:id="1651057602">
          <w:marLeft w:val="0"/>
          <w:marRight w:val="0"/>
          <w:marTop w:val="0"/>
          <w:marBottom w:val="0"/>
          <w:divBdr>
            <w:top w:val="none" w:sz="0" w:space="0" w:color="auto"/>
            <w:left w:val="none" w:sz="0" w:space="0" w:color="auto"/>
            <w:bottom w:val="none" w:sz="0" w:space="0" w:color="auto"/>
            <w:right w:val="none" w:sz="0" w:space="0" w:color="auto"/>
          </w:divBdr>
        </w:div>
        <w:div w:id="1348678965">
          <w:marLeft w:val="0"/>
          <w:marRight w:val="0"/>
          <w:marTop w:val="0"/>
          <w:marBottom w:val="0"/>
          <w:divBdr>
            <w:top w:val="none" w:sz="0" w:space="0" w:color="auto"/>
            <w:left w:val="none" w:sz="0" w:space="0" w:color="auto"/>
            <w:bottom w:val="none" w:sz="0" w:space="0" w:color="auto"/>
            <w:right w:val="none" w:sz="0" w:space="0" w:color="auto"/>
          </w:divBdr>
        </w:div>
        <w:div w:id="1133865158">
          <w:marLeft w:val="0"/>
          <w:marRight w:val="0"/>
          <w:marTop w:val="0"/>
          <w:marBottom w:val="0"/>
          <w:divBdr>
            <w:top w:val="none" w:sz="0" w:space="0" w:color="auto"/>
            <w:left w:val="none" w:sz="0" w:space="0" w:color="auto"/>
            <w:bottom w:val="none" w:sz="0" w:space="0" w:color="auto"/>
            <w:right w:val="none" w:sz="0" w:space="0" w:color="auto"/>
          </w:divBdr>
        </w:div>
        <w:div w:id="289169802">
          <w:marLeft w:val="0"/>
          <w:marRight w:val="0"/>
          <w:marTop w:val="0"/>
          <w:marBottom w:val="0"/>
          <w:divBdr>
            <w:top w:val="none" w:sz="0" w:space="0" w:color="auto"/>
            <w:left w:val="none" w:sz="0" w:space="0" w:color="auto"/>
            <w:bottom w:val="none" w:sz="0" w:space="0" w:color="auto"/>
            <w:right w:val="none" w:sz="0" w:space="0" w:color="auto"/>
          </w:divBdr>
        </w:div>
        <w:div w:id="243808774">
          <w:marLeft w:val="0"/>
          <w:marRight w:val="0"/>
          <w:marTop w:val="0"/>
          <w:marBottom w:val="0"/>
          <w:divBdr>
            <w:top w:val="none" w:sz="0" w:space="0" w:color="auto"/>
            <w:left w:val="none" w:sz="0" w:space="0" w:color="auto"/>
            <w:bottom w:val="none" w:sz="0" w:space="0" w:color="auto"/>
            <w:right w:val="none" w:sz="0" w:space="0" w:color="auto"/>
          </w:divBdr>
        </w:div>
        <w:div w:id="245918467">
          <w:marLeft w:val="0"/>
          <w:marRight w:val="0"/>
          <w:marTop w:val="0"/>
          <w:marBottom w:val="0"/>
          <w:divBdr>
            <w:top w:val="none" w:sz="0" w:space="0" w:color="auto"/>
            <w:left w:val="none" w:sz="0" w:space="0" w:color="auto"/>
            <w:bottom w:val="none" w:sz="0" w:space="0" w:color="auto"/>
            <w:right w:val="none" w:sz="0" w:space="0" w:color="auto"/>
          </w:divBdr>
        </w:div>
        <w:div w:id="2102336658">
          <w:marLeft w:val="0"/>
          <w:marRight w:val="0"/>
          <w:marTop w:val="0"/>
          <w:marBottom w:val="0"/>
          <w:divBdr>
            <w:top w:val="none" w:sz="0" w:space="0" w:color="auto"/>
            <w:left w:val="none" w:sz="0" w:space="0" w:color="auto"/>
            <w:bottom w:val="none" w:sz="0" w:space="0" w:color="auto"/>
            <w:right w:val="none" w:sz="0" w:space="0" w:color="auto"/>
          </w:divBdr>
        </w:div>
        <w:div w:id="516384498">
          <w:marLeft w:val="0"/>
          <w:marRight w:val="0"/>
          <w:marTop w:val="0"/>
          <w:marBottom w:val="0"/>
          <w:divBdr>
            <w:top w:val="none" w:sz="0" w:space="0" w:color="auto"/>
            <w:left w:val="none" w:sz="0" w:space="0" w:color="auto"/>
            <w:bottom w:val="none" w:sz="0" w:space="0" w:color="auto"/>
            <w:right w:val="none" w:sz="0" w:space="0" w:color="auto"/>
          </w:divBdr>
        </w:div>
        <w:div w:id="4865628">
          <w:marLeft w:val="0"/>
          <w:marRight w:val="0"/>
          <w:marTop w:val="0"/>
          <w:marBottom w:val="0"/>
          <w:divBdr>
            <w:top w:val="none" w:sz="0" w:space="0" w:color="auto"/>
            <w:left w:val="none" w:sz="0" w:space="0" w:color="auto"/>
            <w:bottom w:val="none" w:sz="0" w:space="0" w:color="auto"/>
            <w:right w:val="none" w:sz="0" w:space="0" w:color="auto"/>
          </w:divBdr>
        </w:div>
        <w:div w:id="1982534589">
          <w:marLeft w:val="0"/>
          <w:marRight w:val="0"/>
          <w:marTop w:val="0"/>
          <w:marBottom w:val="0"/>
          <w:divBdr>
            <w:top w:val="none" w:sz="0" w:space="0" w:color="auto"/>
            <w:left w:val="none" w:sz="0" w:space="0" w:color="auto"/>
            <w:bottom w:val="none" w:sz="0" w:space="0" w:color="auto"/>
            <w:right w:val="none" w:sz="0" w:space="0" w:color="auto"/>
          </w:divBdr>
        </w:div>
        <w:div w:id="1222669891">
          <w:marLeft w:val="0"/>
          <w:marRight w:val="0"/>
          <w:marTop w:val="0"/>
          <w:marBottom w:val="0"/>
          <w:divBdr>
            <w:top w:val="none" w:sz="0" w:space="0" w:color="auto"/>
            <w:left w:val="none" w:sz="0" w:space="0" w:color="auto"/>
            <w:bottom w:val="none" w:sz="0" w:space="0" w:color="auto"/>
            <w:right w:val="none" w:sz="0" w:space="0" w:color="auto"/>
          </w:divBdr>
        </w:div>
        <w:div w:id="607935090">
          <w:marLeft w:val="0"/>
          <w:marRight w:val="0"/>
          <w:marTop w:val="0"/>
          <w:marBottom w:val="0"/>
          <w:divBdr>
            <w:top w:val="none" w:sz="0" w:space="0" w:color="auto"/>
            <w:left w:val="none" w:sz="0" w:space="0" w:color="auto"/>
            <w:bottom w:val="none" w:sz="0" w:space="0" w:color="auto"/>
            <w:right w:val="none" w:sz="0" w:space="0" w:color="auto"/>
          </w:divBdr>
        </w:div>
        <w:div w:id="1743985019">
          <w:marLeft w:val="0"/>
          <w:marRight w:val="0"/>
          <w:marTop w:val="0"/>
          <w:marBottom w:val="0"/>
          <w:divBdr>
            <w:top w:val="none" w:sz="0" w:space="0" w:color="auto"/>
            <w:left w:val="none" w:sz="0" w:space="0" w:color="auto"/>
            <w:bottom w:val="none" w:sz="0" w:space="0" w:color="auto"/>
            <w:right w:val="none" w:sz="0" w:space="0" w:color="auto"/>
          </w:divBdr>
        </w:div>
        <w:div w:id="90244189">
          <w:marLeft w:val="0"/>
          <w:marRight w:val="0"/>
          <w:marTop w:val="0"/>
          <w:marBottom w:val="0"/>
          <w:divBdr>
            <w:top w:val="none" w:sz="0" w:space="0" w:color="auto"/>
            <w:left w:val="none" w:sz="0" w:space="0" w:color="auto"/>
            <w:bottom w:val="none" w:sz="0" w:space="0" w:color="auto"/>
            <w:right w:val="none" w:sz="0" w:space="0" w:color="auto"/>
          </w:divBdr>
        </w:div>
        <w:div w:id="2124809392">
          <w:marLeft w:val="0"/>
          <w:marRight w:val="0"/>
          <w:marTop w:val="0"/>
          <w:marBottom w:val="0"/>
          <w:divBdr>
            <w:top w:val="none" w:sz="0" w:space="0" w:color="auto"/>
            <w:left w:val="none" w:sz="0" w:space="0" w:color="auto"/>
            <w:bottom w:val="none" w:sz="0" w:space="0" w:color="auto"/>
            <w:right w:val="none" w:sz="0" w:space="0" w:color="auto"/>
          </w:divBdr>
        </w:div>
        <w:div w:id="1737360866">
          <w:marLeft w:val="0"/>
          <w:marRight w:val="0"/>
          <w:marTop w:val="0"/>
          <w:marBottom w:val="0"/>
          <w:divBdr>
            <w:top w:val="none" w:sz="0" w:space="0" w:color="auto"/>
            <w:left w:val="none" w:sz="0" w:space="0" w:color="auto"/>
            <w:bottom w:val="none" w:sz="0" w:space="0" w:color="auto"/>
            <w:right w:val="none" w:sz="0" w:space="0" w:color="auto"/>
          </w:divBdr>
        </w:div>
        <w:div w:id="1019701412">
          <w:marLeft w:val="0"/>
          <w:marRight w:val="0"/>
          <w:marTop w:val="0"/>
          <w:marBottom w:val="0"/>
          <w:divBdr>
            <w:top w:val="none" w:sz="0" w:space="0" w:color="auto"/>
            <w:left w:val="none" w:sz="0" w:space="0" w:color="auto"/>
            <w:bottom w:val="none" w:sz="0" w:space="0" w:color="auto"/>
            <w:right w:val="none" w:sz="0" w:space="0" w:color="auto"/>
          </w:divBdr>
        </w:div>
        <w:div w:id="2017805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ueprintforhealth.vermont.gov/sites/bfh/files/doc_library/Blueprint%20Manual%20July%202022_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Vadakin, Lori</dc:creator>
  <cp:keywords/>
  <dc:description/>
  <cp:lastModifiedBy>Dayon, Eva (they/them)</cp:lastModifiedBy>
  <cp:revision>2</cp:revision>
  <dcterms:created xsi:type="dcterms:W3CDTF">2024-11-05T01:35:00Z</dcterms:created>
  <dcterms:modified xsi:type="dcterms:W3CDTF">2024-11-05T01:35:00Z</dcterms:modified>
</cp:coreProperties>
</file>